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8A" w:rsidRPr="004A6E52" w:rsidRDefault="0096778A" w:rsidP="0096778A">
      <w:pPr>
        <w:jc w:val="both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4A6E52">
        <w:rPr>
          <w:rFonts w:asciiTheme="minorBidi" w:hAnsiTheme="minorBidi" w:cstheme="minorBidi"/>
          <w:b/>
          <w:bCs/>
          <w:sz w:val="28"/>
          <w:szCs w:val="28"/>
          <w:lang w:val="fr-FR"/>
        </w:rPr>
        <w:t>Première année</w:t>
      </w:r>
    </w:p>
    <w:p w:rsidR="00EF16B2" w:rsidRPr="0056637C" w:rsidRDefault="00EF16B2" w:rsidP="00EF16B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6637C">
        <w:rPr>
          <w:rFonts w:ascii="Times New Roman" w:hAnsi="Times New Roman" w:cs="Times New Roman"/>
          <w:b/>
          <w:bCs/>
          <w:sz w:val="28"/>
          <w:szCs w:val="28"/>
          <w:u w:val="single"/>
        </w:rPr>
        <w:t>Littérature enfantine</w:t>
      </w:r>
      <w:r w:rsidRPr="0056637C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EF16B2" w:rsidRPr="00EF16B2" w:rsidRDefault="00EF16B2" w:rsidP="00EF16B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>Les critères du choix des livres pour enfants</w:t>
      </w:r>
    </w:p>
    <w:p w:rsidR="00EF16B2" w:rsidRPr="0056637C" w:rsidRDefault="00EF16B2" w:rsidP="00EF16B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37C">
        <w:rPr>
          <w:rFonts w:ascii="Times New Roman" w:hAnsi="Times New Roman" w:cs="Times New Roman"/>
          <w:sz w:val="28"/>
          <w:szCs w:val="28"/>
        </w:rPr>
        <w:t>Définition des livres pour enfants</w:t>
      </w:r>
    </w:p>
    <w:p w:rsidR="00EF16B2" w:rsidRPr="0056637C" w:rsidRDefault="00EF16B2" w:rsidP="00EF16B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37C">
        <w:rPr>
          <w:rFonts w:ascii="Times New Roman" w:hAnsi="Times New Roman" w:cs="Times New Roman"/>
          <w:sz w:val="28"/>
          <w:szCs w:val="28"/>
        </w:rPr>
        <w:t>L’art de conter</w:t>
      </w:r>
    </w:p>
    <w:p w:rsidR="00EF16B2" w:rsidRPr="0056637C" w:rsidRDefault="00EF16B2" w:rsidP="00EF16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37C">
        <w:rPr>
          <w:rFonts w:ascii="Times New Roman" w:hAnsi="Times New Roman" w:cs="Times New Roman"/>
          <w:b/>
          <w:bCs/>
          <w:sz w:val="28"/>
          <w:szCs w:val="28"/>
          <w:u w:val="single"/>
        </w:rPr>
        <w:t>Première partie</w:t>
      </w:r>
      <w:r w:rsidRPr="0056637C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EF16B2" w:rsidRPr="00EF16B2" w:rsidRDefault="00EF16B2" w:rsidP="00EF16B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b/>
          <w:bCs/>
          <w:sz w:val="28"/>
          <w:szCs w:val="28"/>
          <w:lang w:val="fr-CA"/>
        </w:rPr>
        <w:t>L’enfant et l’enfant-héros dans la littérature enfantine.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>Quelques auteurs contemporains : Eric Carle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Dick Bruna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Léo Léonni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Claude Simon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Iela Mari</w:t>
      </w:r>
    </w:p>
    <w:p w:rsidR="00EF16B2" w:rsidRPr="0056637C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</w:t>
      </w:r>
      <w:r w:rsidRPr="0056637C">
        <w:rPr>
          <w:rFonts w:ascii="Times New Roman" w:hAnsi="Times New Roman" w:cs="Times New Roman"/>
          <w:sz w:val="28"/>
          <w:szCs w:val="28"/>
        </w:rPr>
        <w:t>Domitille de pressence</w:t>
      </w:r>
    </w:p>
    <w:p w:rsidR="00EF16B2" w:rsidRPr="0056637C" w:rsidRDefault="00EF16B2" w:rsidP="00EF16B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37C">
        <w:rPr>
          <w:rFonts w:ascii="Times New Roman" w:hAnsi="Times New Roman" w:cs="Times New Roman"/>
          <w:b/>
          <w:bCs/>
          <w:sz w:val="28"/>
          <w:szCs w:val="28"/>
        </w:rPr>
        <w:t>L’animal dans la littérature enfantine</w:t>
      </w:r>
    </w:p>
    <w:p w:rsidR="00EF16B2" w:rsidRPr="0056637C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37C">
        <w:rPr>
          <w:rFonts w:ascii="Times New Roman" w:hAnsi="Times New Roman" w:cs="Times New Roman"/>
          <w:sz w:val="28"/>
          <w:szCs w:val="28"/>
        </w:rPr>
        <w:t>L’intérêt de l’enfant pour l’animal</w:t>
      </w:r>
    </w:p>
    <w:p w:rsidR="00EF16B2" w:rsidRPr="0056637C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37C">
        <w:rPr>
          <w:rFonts w:ascii="Times New Roman" w:hAnsi="Times New Roman" w:cs="Times New Roman"/>
          <w:sz w:val="28"/>
          <w:szCs w:val="28"/>
        </w:rPr>
        <w:t xml:space="preserve">L’animal-héros 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>Quelques auteurs : J. de la fontaine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                 J. et L. de Brunhoff</w:t>
      </w:r>
    </w:p>
    <w:p w:rsidR="00EF16B2" w:rsidRPr="00EF16B2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</w:t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   R. Kipling</w:t>
      </w:r>
    </w:p>
    <w:p w:rsidR="00EF16B2" w:rsidRPr="0056637C" w:rsidRDefault="00EF16B2" w:rsidP="00EF16B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ab/>
        <w:t xml:space="preserve">     </w:t>
      </w:r>
      <w:r w:rsidRPr="0056637C">
        <w:rPr>
          <w:rFonts w:ascii="Times New Roman" w:hAnsi="Times New Roman" w:cs="Times New Roman"/>
          <w:sz w:val="28"/>
          <w:szCs w:val="28"/>
        </w:rPr>
        <w:t>P. Faucher</w:t>
      </w:r>
    </w:p>
    <w:p w:rsidR="00EF16B2" w:rsidRPr="0056637C" w:rsidRDefault="00EF16B2" w:rsidP="00EF16B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6637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6637C">
        <w:rPr>
          <w:rFonts w:ascii="Times New Roman" w:hAnsi="Times New Roman" w:cs="Times New Roman"/>
          <w:b/>
          <w:bCs/>
          <w:sz w:val="28"/>
          <w:szCs w:val="28"/>
          <w:u w:val="single"/>
        </w:rPr>
        <w:t>Seconde partie</w:t>
      </w:r>
      <w:r w:rsidRPr="0056637C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EF16B2" w:rsidRPr="0056637C" w:rsidRDefault="00EF16B2" w:rsidP="00EF16B2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56637C">
        <w:rPr>
          <w:rFonts w:ascii="Times New Roman" w:hAnsi="Times New Roman" w:cs="Times New Roman"/>
          <w:b/>
          <w:bCs/>
          <w:sz w:val="28"/>
          <w:szCs w:val="28"/>
        </w:rPr>
        <w:t xml:space="preserve">L’illustration : </w:t>
      </w:r>
      <w:r w:rsidRPr="0056637C">
        <w:rPr>
          <w:rFonts w:ascii="Times New Roman" w:hAnsi="Times New Roman" w:cs="Times New Roman"/>
          <w:sz w:val="28"/>
          <w:szCs w:val="28"/>
        </w:rPr>
        <w:t>Rôle et importance</w:t>
      </w:r>
    </w:p>
    <w:p w:rsidR="00EF16B2" w:rsidRPr="00EF16B2" w:rsidRDefault="00EF16B2" w:rsidP="00EF16B2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Le merveilleux : </w:t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>l’origine des contes.</w:t>
      </w:r>
    </w:p>
    <w:p w:rsidR="00EF16B2" w:rsidRPr="00EF16B2" w:rsidRDefault="00EF16B2" w:rsidP="00EF16B2">
      <w:pPr>
        <w:spacing w:after="0"/>
        <w:ind w:left="288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 </w:t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>Analyse du schéma narratif du conte</w:t>
      </w:r>
    </w:p>
    <w:p w:rsidR="00EF16B2" w:rsidRPr="00EF16B2" w:rsidRDefault="00EF16B2" w:rsidP="00EF16B2">
      <w:pPr>
        <w:spacing w:after="0"/>
        <w:ind w:left="2160" w:firstLine="72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Contes de fées et socialisation</w:t>
      </w:r>
    </w:p>
    <w:p w:rsidR="00EF16B2" w:rsidRPr="00EF16B2" w:rsidRDefault="00EF16B2" w:rsidP="00EF16B2">
      <w:pPr>
        <w:spacing w:after="0"/>
        <w:ind w:left="2160" w:firstLine="72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L’exploitation pédagogique d’un conte</w:t>
      </w:r>
    </w:p>
    <w:p w:rsidR="00EF16B2" w:rsidRPr="00EF16B2" w:rsidRDefault="00EF16B2" w:rsidP="00EF16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>Quelques auteurs :Ch. PERRAULT         (France)</w:t>
      </w:r>
    </w:p>
    <w:p w:rsidR="00EF16B2" w:rsidRPr="00EF16B2" w:rsidRDefault="00EF16B2" w:rsidP="00EF16B2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   W. GRIMM              (Allemagne)</w:t>
      </w:r>
    </w:p>
    <w:p w:rsidR="00EF16B2" w:rsidRPr="00EF16B2" w:rsidRDefault="00EF16B2" w:rsidP="00EF16B2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   H.C. ANDERSEN      (Danemark)</w:t>
      </w:r>
    </w:p>
    <w:p w:rsidR="00EF16B2" w:rsidRPr="00D14BD4" w:rsidRDefault="00EF16B2" w:rsidP="00EF16B2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   </w:t>
      </w:r>
      <w:r w:rsidRPr="00D14BD4">
        <w:rPr>
          <w:rFonts w:ascii="Times New Roman" w:hAnsi="Times New Roman" w:cs="Times New Roman"/>
          <w:sz w:val="28"/>
          <w:szCs w:val="28"/>
          <w:lang w:val="fr-CA"/>
        </w:rPr>
        <w:t>L. CARROLL              (Angleterre)</w:t>
      </w:r>
    </w:p>
    <w:p w:rsidR="00EF16B2" w:rsidRPr="00EF16B2" w:rsidRDefault="00EF16B2" w:rsidP="00EF16B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fr-CA"/>
        </w:rPr>
      </w:pPr>
      <w:r w:rsidRPr="00D14BD4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            </w:t>
      </w:r>
      <w:r w:rsidRPr="00EF16B2">
        <w:rPr>
          <w:rFonts w:ascii="Times New Roman" w:hAnsi="Times New Roman" w:cs="Times New Roman"/>
          <w:sz w:val="28"/>
          <w:szCs w:val="28"/>
          <w:lang w:val="fr-CA"/>
        </w:rPr>
        <w:t xml:space="preserve">COLLODI                   (Italie)     </w:t>
      </w:r>
    </w:p>
    <w:p w:rsidR="00EF16B2" w:rsidRPr="00EF16B2" w:rsidRDefault="00EF16B2" w:rsidP="00EF16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EF16B2" w:rsidRPr="00EF16B2" w:rsidRDefault="00EF16B2" w:rsidP="00EF16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EF16B2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Troisième partie</w:t>
      </w:r>
      <w:r w:rsidRPr="00EF16B2">
        <w:rPr>
          <w:rFonts w:ascii="Times New Roman" w:hAnsi="Times New Roman" w:cs="Times New Roman"/>
          <w:b/>
          <w:bCs/>
          <w:sz w:val="28"/>
          <w:szCs w:val="28"/>
          <w:lang w:val="fr-CA"/>
        </w:rPr>
        <w:t> :</w:t>
      </w:r>
    </w:p>
    <w:p w:rsidR="00EF16B2" w:rsidRPr="00EF16B2" w:rsidRDefault="00EF16B2" w:rsidP="00EF16B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>Les contes spécialisés pour les différents handicaps</w:t>
      </w:r>
    </w:p>
    <w:p w:rsidR="00EF16B2" w:rsidRPr="00EF16B2" w:rsidRDefault="00EF16B2" w:rsidP="00EF16B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EF16B2">
        <w:rPr>
          <w:rFonts w:ascii="Times New Roman" w:hAnsi="Times New Roman" w:cs="Times New Roman"/>
          <w:sz w:val="28"/>
          <w:szCs w:val="28"/>
          <w:lang w:val="fr-CA"/>
        </w:rPr>
        <w:t>Répertoire de livres pour enfants en langue arabe et étrangère</w:t>
      </w:r>
    </w:p>
    <w:p w:rsidR="00EF16B2" w:rsidRPr="00EF16B2" w:rsidRDefault="00EF16B2" w:rsidP="00EF16B2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</w:p>
    <w:p w:rsidR="00EF16B2" w:rsidRPr="00EF16B2" w:rsidRDefault="00EF16B2" w:rsidP="00EF16B2">
      <w:pPr>
        <w:spacing w:after="0"/>
        <w:rPr>
          <w:rFonts w:asciiTheme="majorBidi" w:hAnsiTheme="majorBidi" w:cstheme="majorBidi"/>
          <w:b/>
          <w:bCs/>
          <w:sz w:val="40"/>
          <w:szCs w:val="40"/>
          <w:lang w:val="fr-CA"/>
        </w:rPr>
      </w:pPr>
    </w:p>
    <w:p w:rsidR="009F1D4A" w:rsidRPr="00EF16B2" w:rsidRDefault="009F1D4A" w:rsidP="00EF16B2">
      <w:pPr>
        <w:jc w:val="center"/>
        <w:rPr>
          <w:lang w:val="fr-CA" w:bidi="ar-LB"/>
        </w:rPr>
      </w:pPr>
      <w:bookmarkStart w:id="0" w:name="_GoBack"/>
      <w:bookmarkEnd w:id="0"/>
    </w:p>
    <w:sectPr w:rsidR="009F1D4A" w:rsidRPr="00EF16B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927" w:rsidRDefault="00897927" w:rsidP="00147F0E">
      <w:pPr>
        <w:spacing w:after="0" w:line="240" w:lineRule="auto"/>
      </w:pPr>
      <w:r>
        <w:separator/>
      </w:r>
    </w:p>
  </w:endnote>
  <w:endnote w:type="continuationSeparator" w:id="0">
    <w:p w:rsidR="00897927" w:rsidRDefault="00897927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3264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6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927" w:rsidRDefault="00897927" w:rsidP="00147F0E">
      <w:pPr>
        <w:spacing w:after="0" w:line="240" w:lineRule="auto"/>
      </w:pPr>
      <w:r>
        <w:separator/>
      </w:r>
    </w:p>
  </w:footnote>
  <w:footnote w:type="continuationSeparator" w:id="0">
    <w:p w:rsidR="00897927" w:rsidRDefault="00897927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43D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97927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16B2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F86DE8-061D-464F-AD21-2F4D7E95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EF2C2-9FCC-4336-96BE-61E69E23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2020-09-28T08:34:00Z</dcterms:modified>
</cp:coreProperties>
</file>